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EDB87" w14:textId="77777777" w:rsidR="00193B59" w:rsidRPr="00FD07AB" w:rsidRDefault="00193B59" w:rsidP="004275FC">
      <w:pPr>
        <w:spacing w:before="400" w:after="120"/>
        <w:outlineLvl w:val="0"/>
        <w:rPr>
          <w:rFonts w:ascii="Cambria" w:eastAsia="Times New Roman" w:hAnsi="Cambria" w:cs="Times New Roman"/>
          <w:b/>
          <w:bCs/>
          <w:color w:val="000000"/>
          <w:kern w:val="36"/>
          <w:lang w:val="uk-UA"/>
        </w:rPr>
      </w:pPr>
      <w:r w:rsidRPr="00FD07AB">
        <w:rPr>
          <w:rFonts w:ascii="Cambria" w:eastAsia="Times New Roman" w:hAnsi="Cambria" w:cs="Times New Roman"/>
          <w:b/>
          <w:bCs/>
          <w:color w:val="000000"/>
          <w:kern w:val="36"/>
          <w:lang w:val="uk-UA"/>
        </w:rPr>
        <w:t>Проблема №1</w:t>
      </w:r>
    </w:p>
    <w:p w14:paraId="2C18811E" w14:textId="77777777" w:rsidR="00EE6288" w:rsidRPr="00FD07AB" w:rsidRDefault="00EE6288" w:rsidP="004275FC">
      <w:pPr>
        <w:spacing w:before="400" w:after="120"/>
        <w:outlineLvl w:val="0"/>
        <w:rPr>
          <w:rFonts w:ascii="Cambria" w:eastAsia="Times New Roman" w:hAnsi="Cambria" w:cs="Times New Roman"/>
          <w:b/>
          <w:bCs/>
          <w:kern w:val="36"/>
          <w:lang w:val="uk-UA"/>
        </w:rPr>
      </w:pPr>
      <w:r w:rsidRPr="00FD07AB">
        <w:rPr>
          <w:rFonts w:ascii="Cambria" w:eastAsia="Times New Roman" w:hAnsi="Cambria" w:cs="Times New Roman"/>
          <w:b/>
          <w:bCs/>
          <w:color w:val="000000"/>
          <w:kern w:val="36"/>
          <w:lang w:val="uk-UA"/>
        </w:rPr>
        <w:t>Надмірна кількість безсистемно розміщених тимчасових споруд для торгівлі та розважальних послуг на вулиці Соборна</w:t>
      </w:r>
    </w:p>
    <w:p w14:paraId="1668F685" w14:textId="77777777" w:rsidR="00FD07AB" w:rsidRPr="00FD07AB" w:rsidRDefault="00FD07AB" w:rsidP="00FD07AB">
      <w:pPr>
        <w:jc w:val="both"/>
        <w:rPr>
          <w:rFonts w:ascii="Cambria" w:hAnsi="Cambria" w:cs="Times New Roman"/>
          <w:color w:val="000000"/>
          <w:lang w:val="uk-UA"/>
        </w:rPr>
      </w:pPr>
    </w:p>
    <w:p w14:paraId="4066F0C8" w14:textId="724D314B" w:rsidR="00FD07AB" w:rsidRPr="00FD07AB" w:rsidRDefault="00FD07AB" w:rsidP="00FD07AB">
      <w:pPr>
        <w:jc w:val="both"/>
        <w:rPr>
          <w:rFonts w:ascii="Cambria" w:hAnsi="Cambria" w:cs="Times New Roman"/>
          <w:b/>
          <w:color w:val="000000"/>
          <w:lang w:val="uk-UA"/>
        </w:rPr>
      </w:pPr>
      <w:r w:rsidRPr="00FD07AB">
        <w:rPr>
          <w:rFonts w:ascii="Cambria" w:hAnsi="Cambria" w:cs="Times New Roman"/>
          <w:b/>
          <w:color w:val="000000"/>
          <w:lang w:val="uk-UA"/>
        </w:rPr>
        <w:t>Варіант 2</w:t>
      </w:r>
    </w:p>
    <w:p w14:paraId="482FF169" w14:textId="77777777" w:rsidR="00FD07AB" w:rsidRPr="00FD07AB" w:rsidRDefault="00FD07AB" w:rsidP="00C7570C">
      <w:pPr>
        <w:ind w:firstLine="708"/>
        <w:jc w:val="both"/>
        <w:rPr>
          <w:rFonts w:ascii="Cambria" w:hAnsi="Cambria" w:cs="Times New Roman"/>
          <w:color w:val="000000"/>
          <w:lang w:val="uk-UA"/>
        </w:rPr>
      </w:pPr>
    </w:p>
    <w:p w14:paraId="0C322118" w14:textId="77777777" w:rsidR="002E6A36" w:rsidRPr="00FD07AB" w:rsidRDefault="00180AD0" w:rsidP="00FD07AB">
      <w:pPr>
        <w:pStyle w:val="ListParagraph"/>
        <w:numPr>
          <w:ilvl w:val="0"/>
          <w:numId w:val="6"/>
        </w:numPr>
        <w:tabs>
          <w:tab w:val="num" w:pos="142"/>
          <w:tab w:val="left" w:pos="284"/>
        </w:tabs>
        <w:jc w:val="both"/>
        <w:textAlignment w:val="baseline"/>
        <w:rPr>
          <w:rFonts w:ascii="Cambria" w:hAnsi="Cambria" w:cs="Times New Roman"/>
          <w:color w:val="000000"/>
          <w:lang w:val="uk-UA"/>
        </w:rPr>
      </w:pPr>
      <w:r w:rsidRPr="00FD07AB">
        <w:rPr>
          <w:rFonts w:ascii="Cambria" w:hAnsi="Cambria" w:cs="Times New Roman"/>
          <w:color w:val="000000"/>
          <w:lang w:val="uk-UA"/>
        </w:rPr>
        <w:t>Визначити усі нелегальні</w:t>
      </w:r>
      <w:r w:rsidR="002E6A36" w:rsidRPr="00FD07AB">
        <w:rPr>
          <w:rFonts w:ascii="Cambria" w:hAnsi="Cambria" w:cs="Times New Roman"/>
          <w:color w:val="000000"/>
          <w:lang w:val="uk-UA"/>
        </w:rPr>
        <w:t xml:space="preserve"> тимчасові</w:t>
      </w:r>
      <w:r w:rsidRPr="00FD07AB">
        <w:rPr>
          <w:rFonts w:ascii="Cambria" w:hAnsi="Cambria" w:cs="Times New Roman"/>
          <w:color w:val="000000"/>
          <w:lang w:val="uk-UA"/>
        </w:rPr>
        <w:t xml:space="preserve"> споруди наявні на вулиці, які не мають необхідних </w:t>
      </w:r>
      <w:r w:rsidR="002E6A36" w:rsidRPr="00FD07AB">
        <w:rPr>
          <w:rFonts w:ascii="Cambria" w:hAnsi="Cambria" w:cs="Times New Roman"/>
          <w:color w:val="000000"/>
          <w:lang w:val="uk-UA"/>
        </w:rPr>
        <w:t>документів</w:t>
      </w:r>
      <w:r w:rsidRPr="00FD07AB">
        <w:rPr>
          <w:rFonts w:ascii="Cambria" w:hAnsi="Cambria" w:cs="Times New Roman"/>
          <w:color w:val="000000"/>
          <w:lang w:val="uk-UA"/>
        </w:rPr>
        <w:t>,  накласти відповідні стягнення на власників, змусити демонтувати самостійно чи демонтувати за допомогою муніципальної техніки. Також разом із поліцією демонтувати всі ті, що створюють небезпеку дорожньому руху (закривають видимість дорожніх знаків, поворотів, перехресть, кільцевого руху, пішохідних переходів, тощо).</w:t>
      </w:r>
    </w:p>
    <w:p w14:paraId="7A2C443F" w14:textId="77777777" w:rsidR="00180AD0" w:rsidRPr="00FD07AB" w:rsidRDefault="00180AD0" w:rsidP="00FD07AB">
      <w:pPr>
        <w:pStyle w:val="ListParagraph"/>
        <w:numPr>
          <w:ilvl w:val="0"/>
          <w:numId w:val="6"/>
        </w:numPr>
        <w:tabs>
          <w:tab w:val="num" w:pos="142"/>
          <w:tab w:val="left" w:pos="284"/>
        </w:tabs>
        <w:jc w:val="both"/>
        <w:textAlignment w:val="baseline"/>
        <w:rPr>
          <w:rFonts w:ascii="Cambria" w:hAnsi="Cambria" w:cs="Times New Roman"/>
          <w:color w:val="000000"/>
          <w:lang w:val="uk-UA"/>
        </w:rPr>
      </w:pPr>
      <w:r w:rsidRPr="00FD07AB">
        <w:rPr>
          <w:rFonts w:ascii="Cambria" w:hAnsi="Cambria" w:cs="Times New Roman"/>
          <w:color w:val="000000"/>
          <w:lang w:val="uk-UA"/>
        </w:rPr>
        <w:t xml:space="preserve">Управлінню архітектури та містобудування </w:t>
      </w:r>
      <w:r w:rsidR="002E6A36" w:rsidRPr="00FD07AB">
        <w:rPr>
          <w:rFonts w:ascii="Cambria" w:hAnsi="Cambria" w:cs="Times New Roman"/>
          <w:color w:val="000000"/>
          <w:lang w:val="uk-UA"/>
        </w:rPr>
        <w:t>Миколаївської міської ради</w:t>
      </w:r>
      <w:r w:rsidRPr="00FD07AB">
        <w:rPr>
          <w:rFonts w:ascii="Cambria" w:hAnsi="Cambria" w:cs="Times New Roman"/>
          <w:color w:val="000000"/>
          <w:lang w:val="uk-UA"/>
        </w:rPr>
        <w:t xml:space="preserve"> розробити варіанти архетипів та затвердити архетипи тимчасових споруд для Соборної вулиці.</w:t>
      </w:r>
    </w:p>
    <w:p w14:paraId="0F431D60" w14:textId="337CD0D1" w:rsidR="00180AD0" w:rsidRPr="00FD07AB" w:rsidRDefault="00180AD0" w:rsidP="00FD07AB">
      <w:pPr>
        <w:pStyle w:val="ListParagraph"/>
        <w:numPr>
          <w:ilvl w:val="0"/>
          <w:numId w:val="6"/>
        </w:numPr>
        <w:tabs>
          <w:tab w:val="left" w:pos="284"/>
        </w:tabs>
        <w:jc w:val="both"/>
        <w:textAlignment w:val="baseline"/>
        <w:rPr>
          <w:rFonts w:ascii="Cambria" w:hAnsi="Cambria" w:cs="Times New Roman"/>
          <w:color w:val="000000"/>
          <w:lang w:val="uk-UA"/>
        </w:rPr>
      </w:pPr>
      <w:r w:rsidRPr="00FD07AB">
        <w:rPr>
          <w:rFonts w:ascii="Cambria" w:hAnsi="Cambria" w:cs="Times New Roman"/>
          <w:color w:val="000000"/>
          <w:lang w:val="uk-UA"/>
        </w:rPr>
        <w:t xml:space="preserve">Управлінню архітектури та містобудування </w:t>
      </w:r>
      <w:r w:rsidR="002E6A36" w:rsidRPr="00FD07AB">
        <w:rPr>
          <w:rFonts w:ascii="Cambria" w:hAnsi="Cambria" w:cs="Times New Roman"/>
          <w:color w:val="000000"/>
          <w:lang w:val="uk-UA"/>
        </w:rPr>
        <w:t xml:space="preserve">Миколаївської міської ради </w:t>
      </w:r>
      <w:r w:rsidRPr="00FD07AB">
        <w:rPr>
          <w:rFonts w:ascii="Cambria" w:hAnsi="Cambria" w:cs="Times New Roman"/>
          <w:color w:val="000000"/>
          <w:lang w:val="uk-UA"/>
        </w:rPr>
        <w:t>розробити та затвердити правила розміщення та комплексну</w:t>
      </w:r>
      <w:r w:rsidR="00FD07AB">
        <w:rPr>
          <w:rFonts w:ascii="Cambria" w:hAnsi="Cambria" w:cs="Times New Roman"/>
          <w:color w:val="000000"/>
          <w:lang w:val="uk-UA"/>
        </w:rPr>
        <w:t xml:space="preserve"> схему</w:t>
      </w:r>
      <w:r w:rsidRPr="00FD07AB">
        <w:rPr>
          <w:rFonts w:ascii="Cambria" w:hAnsi="Cambria" w:cs="Times New Roman"/>
          <w:color w:val="000000"/>
          <w:lang w:val="uk-UA"/>
        </w:rPr>
        <w:t xml:space="preserve"> розташування тимчасових споруд та Соб</w:t>
      </w:r>
      <w:r w:rsidR="00FD07AB">
        <w:rPr>
          <w:rFonts w:ascii="Cambria" w:hAnsi="Cambria" w:cs="Times New Roman"/>
          <w:color w:val="000000"/>
          <w:lang w:val="uk-UA"/>
        </w:rPr>
        <w:t>орній в</w:t>
      </w:r>
      <w:r w:rsidRPr="00FD07AB">
        <w:rPr>
          <w:rFonts w:ascii="Cambria" w:hAnsi="Cambria" w:cs="Times New Roman"/>
          <w:color w:val="000000"/>
          <w:lang w:val="uk-UA"/>
        </w:rPr>
        <w:t>улиці</w:t>
      </w:r>
      <w:r w:rsidR="00FD07AB">
        <w:rPr>
          <w:rFonts w:ascii="Cambria" w:hAnsi="Cambria" w:cs="Times New Roman"/>
          <w:color w:val="000000"/>
          <w:lang w:val="uk-UA"/>
        </w:rPr>
        <w:t>.</w:t>
      </w:r>
    </w:p>
    <w:p w14:paraId="1CCAA25A" w14:textId="490629CC" w:rsidR="00180AD0" w:rsidRPr="00FD07AB" w:rsidRDefault="00180AD0" w:rsidP="00FD07AB">
      <w:pPr>
        <w:pStyle w:val="ListParagraph"/>
        <w:numPr>
          <w:ilvl w:val="0"/>
          <w:numId w:val="6"/>
        </w:numPr>
        <w:tabs>
          <w:tab w:val="left" w:pos="284"/>
        </w:tabs>
        <w:jc w:val="both"/>
        <w:textAlignment w:val="baseline"/>
        <w:rPr>
          <w:rFonts w:ascii="Cambria" w:hAnsi="Cambria" w:cs="Times New Roman"/>
          <w:color w:val="000000"/>
          <w:lang w:val="uk-UA"/>
        </w:rPr>
      </w:pPr>
      <w:r w:rsidRPr="00FD07AB">
        <w:rPr>
          <w:rFonts w:ascii="Cambria" w:hAnsi="Cambria" w:cs="Times New Roman"/>
          <w:color w:val="000000"/>
          <w:lang w:val="uk-UA"/>
        </w:rPr>
        <w:t xml:space="preserve">Провести дослідження усіх існуючих тимчасових споруд, що мають дозвіл на ведення діяльності на вулиці Соборній. Перевірити, чи </w:t>
      </w:r>
      <w:r w:rsidR="00FD07AB">
        <w:rPr>
          <w:rFonts w:ascii="Cambria" w:hAnsi="Cambria" w:cs="Times New Roman"/>
          <w:color w:val="000000"/>
          <w:lang w:val="uk-UA"/>
        </w:rPr>
        <w:t>дотримуються підприємці чинних</w:t>
      </w:r>
      <w:r w:rsidRPr="00FD07AB">
        <w:rPr>
          <w:rFonts w:ascii="Cambria" w:hAnsi="Cambria" w:cs="Times New Roman"/>
          <w:color w:val="000000"/>
          <w:lang w:val="uk-UA"/>
        </w:rPr>
        <w:t xml:space="preserve"> правил ведення підприємницької діяльності та правил з благоустрою. Порушників зобов’язати виправитися у</w:t>
      </w:r>
      <w:r w:rsidR="00FD07AB">
        <w:rPr>
          <w:rFonts w:ascii="Cambria" w:hAnsi="Cambria" w:cs="Times New Roman"/>
          <w:color w:val="000000"/>
          <w:lang w:val="uk-UA"/>
        </w:rPr>
        <w:t xml:space="preserve"> встановлений термін. У разі неприведення</w:t>
      </w:r>
      <w:r w:rsidRPr="00FD07AB">
        <w:rPr>
          <w:rFonts w:ascii="Cambria" w:hAnsi="Cambria" w:cs="Times New Roman"/>
          <w:color w:val="000000"/>
          <w:lang w:val="uk-UA"/>
        </w:rPr>
        <w:t xml:space="preserve"> підприємницької діял</w:t>
      </w:r>
      <w:r w:rsidR="00FD07AB">
        <w:rPr>
          <w:rFonts w:ascii="Cambria" w:hAnsi="Cambria" w:cs="Times New Roman"/>
          <w:color w:val="000000"/>
          <w:lang w:val="uk-UA"/>
        </w:rPr>
        <w:t>ьності у відповідність до чинних вимог</w:t>
      </w:r>
      <w:r w:rsidR="0022668C">
        <w:rPr>
          <w:rFonts w:ascii="Cambria" w:hAnsi="Cambria" w:cs="Times New Roman"/>
          <w:color w:val="000000"/>
          <w:lang w:val="uk-UA"/>
        </w:rPr>
        <w:t>,</w:t>
      </w:r>
      <w:r w:rsidRPr="00FD07AB">
        <w:rPr>
          <w:rFonts w:ascii="Cambria" w:hAnsi="Cambria" w:cs="Times New Roman"/>
          <w:color w:val="000000"/>
          <w:lang w:val="uk-UA"/>
        </w:rPr>
        <w:t xml:space="preserve"> накласти відповідні стягнення, внести в “чорний список” та позбавити права на подовження дозволів на ведення підприємницької діяльності на вулиці Соборна.</w:t>
      </w:r>
    </w:p>
    <w:p w14:paraId="24C30C32" w14:textId="77777777" w:rsidR="00180AD0" w:rsidRPr="00FD07AB" w:rsidRDefault="00180AD0" w:rsidP="00FD07AB">
      <w:pPr>
        <w:pStyle w:val="ListParagraph"/>
        <w:numPr>
          <w:ilvl w:val="0"/>
          <w:numId w:val="6"/>
        </w:numPr>
        <w:tabs>
          <w:tab w:val="left" w:pos="284"/>
        </w:tabs>
        <w:jc w:val="both"/>
        <w:textAlignment w:val="baseline"/>
        <w:rPr>
          <w:rFonts w:ascii="Cambria" w:hAnsi="Cambria" w:cs="Times New Roman"/>
          <w:color w:val="000000"/>
          <w:lang w:val="uk-UA"/>
        </w:rPr>
      </w:pPr>
      <w:r w:rsidRPr="00FD07AB">
        <w:rPr>
          <w:rFonts w:ascii="Cambria" w:hAnsi="Cambria" w:cs="Times New Roman"/>
          <w:color w:val="000000"/>
          <w:lang w:val="uk-UA"/>
        </w:rPr>
        <w:t xml:space="preserve">Нові </w:t>
      </w:r>
      <w:r w:rsidR="002E6A36" w:rsidRPr="00FD07AB">
        <w:rPr>
          <w:rFonts w:ascii="Cambria" w:hAnsi="Cambria" w:cs="Times New Roman"/>
          <w:color w:val="000000"/>
          <w:lang w:val="uk-UA"/>
        </w:rPr>
        <w:t>документи</w:t>
      </w:r>
      <w:r w:rsidRPr="00FD07AB">
        <w:rPr>
          <w:rFonts w:ascii="Cambria" w:hAnsi="Cambria" w:cs="Times New Roman"/>
          <w:color w:val="000000"/>
          <w:lang w:val="uk-UA"/>
        </w:rPr>
        <w:t xml:space="preserve"> та подовження </w:t>
      </w:r>
      <w:r w:rsidR="002E6A36" w:rsidRPr="00FD07AB">
        <w:rPr>
          <w:rFonts w:ascii="Cambria" w:hAnsi="Cambria" w:cs="Times New Roman"/>
          <w:color w:val="000000"/>
          <w:lang w:val="uk-UA"/>
        </w:rPr>
        <w:t>розміщення тимчасових споруд</w:t>
      </w:r>
      <w:r w:rsidRPr="00FD07AB">
        <w:rPr>
          <w:rFonts w:ascii="Cambria" w:hAnsi="Cambria" w:cs="Times New Roman"/>
          <w:color w:val="000000"/>
          <w:lang w:val="uk-UA"/>
        </w:rPr>
        <w:t xml:space="preserve"> надавати відповідно до затверджених правил розміщення, архетипів та комплексної схеми розташування тимчасових споруд на Соборній вулиці.</w:t>
      </w:r>
    </w:p>
    <w:p w14:paraId="69B7A82A" w14:textId="635C1E50" w:rsidR="00180AD0" w:rsidRPr="00FD07AB" w:rsidRDefault="0022668C" w:rsidP="00FD07AB">
      <w:pPr>
        <w:pStyle w:val="ListParagraph"/>
        <w:numPr>
          <w:ilvl w:val="0"/>
          <w:numId w:val="6"/>
        </w:numPr>
        <w:tabs>
          <w:tab w:val="left" w:pos="284"/>
        </w:tabs>
        <w:jc w:val="both"/>
        <w:textAlignment w:val="baseline"/>
        <w:rPr>
          <w:rFonts w:ascii="Cambria" w:hAnsi="Cambria" w:cs="Times New Roman"/>
          <w:color w:val="000000"/>
          <w:lang w:val="uk-UA"/>
        </w:rPr>
      </w:pPr>
      <w:r>
        <w:rPr>
          <w:rFonts w:ascii="Cambria" w:hAnsi="Cambria" w:cs="Times New Roman"/>
          <w:color w:val="000000"/>
          <w:lang w:val="uk-UA"/>
        </w:rPr>
        <w:t>Не подовжува</w:t>
      </w:r>
      <w:r w:rsidR="00180AD0" w:rsidRPr="00FD07AB">
        <w:rPr>
          <w:rFonts w:ascii="Cambria" w:hAnsi="Cambria" w:cs="Times New Roman"/>
          <w:color w:val="000000"/>
          <w:lang w:val="uk-UA"/>
        </w:rPr>
        <w:t xml:space="preserve">ти і не надавати нові </w:t>
      </w:r>
      <w:r w:rsidR="002E6A36" w:rsidRPr="00FD07AB">
        <w:rPr>
          <w:rFonts w:ascii="Cambria" w:hAnsi="Cambria" w:cs="Times New Roman"/>
          <w:color w:val="000000"/>
          <w:lang w:val="uk-UA"/>
        </w:rPr>
        <w:t>документи на розміщення тимчасових споруд</w:t>
      </w:r>
      <w:r w:rsidR="00180AD0" w:rsidRPr="00FD07AB">
        <w:rPr>
          <w:rFonts w:ascii="Cambria" w:hAnsi="Cambria" w:cs="Times New Roman"/>
          <w:color w:val="000000"/>
          <w:lang w:val="uk-UA"/>
        </w:rPr>
        <w:t>, що не відповідають новим затвердженим правилам розміщення та зонам розташування.</w:t>
      </w:r>
    </w:p>
    <w:p w14:paraId="45BB3078" w14:textId="58AEB3B0" w:rsidR="00180AD0" w:rsidRPr="00FD07AB" w:rsidRDefault="00180AD0" w:rsidP="00FD07AB">
      <w:pPr>
        <w:pStyle w:val="ListParagraph"/>
        <w:numPr>
          <w:ilvl w:val="0"/>
          <w:numId w:val="6"/>
        </w:numPr>
        <w:tabs>
          <w:tab w:val="left" w:pos="284"/>
        </w:tabs>
        <w:jc w:val="both"/>
        <w:textAlignment w:val="baseline"/>
        <w:rPr>
          <w:rFonts w:ascii="Cambria" w:hAnsi="Cambria" w:cs="Times New Roman"/>
          <w:color w:val="000000"/>
          <w:lang w:val="uk-UA"/>
        </w:rPr>
      </w:pPr>
      <w:r w:rsidRPr="00FD07AB">
        <w:rPr>
          <w:rFonts w:ascii="Cambria" w:hAnsi="Cambria" w:cs="Times New Roman"/>
          <w:color w:val="000000"/>
          <w:lang w:val="uk-UA"/>
        </w:rPr>
        <w:t xml:space="preserve">Контроль покласти на </w:t>
      </w:r>
      <w:r w:rsidR="0022668C">
        <w:rPr>
          <w:rFonts w:ascii="Cambria" w:hAnsi="Cambria" w:cs="Times New Roman"/>
          <w:color w:val="000000"/>
          <w:lang w:val="uk-UA"/>
        </w:rPr>
        <w:t>Миколаївську міську раду та п</w:t>
      </w:r>
      <w:r w:rsidR="002E6A36" w:rsidRPr="00FD07AB">
        <w:rPr>
          <w:rFonts w:ascii="Cambria" w:hAnsi="Cambria" w:cs="Times New Roman"/>
          <w:color w:val="000000"/>
          <w:lang w:val="uk-UA"/>
        </w:rPr>
        <w:t>атрульну службу Миколаєва</w:t>
      </w:r>
      <w:r w:rsidR="0022668C">
        <w:rPr>
          <w:rFonts w:ascii="Cambria" w:hAnsi="Cambria" w:cs="Times New Roman"/>
          <w:color w:val="000000"/>
          <w:lang w:val="uk-UA"/>
        </w:rPr>
        <w:t>.</w:t>
      </w:r>
    </w:p>
    <w:p w14:paraId="268E7EFA" w14:textId="77777777" w:rsidR="00FD07AB" w:rsidRPr="00FD07AB" w:rsidRDefault="00FD07AB" w:rsidP="00FD07AB">
      <w:pPr>
        <w:pStyle w:val="ListParagraph"/>
        <w:tabs>
          <w:tab w:val="left" w:pos="284"/>
        </w:tabs>
        <w:jc w:val="both"/>
        <w:textAlignment w:val="baseline"/>
        <w:rPr>
          <w:rFonts w:ascii="Cambria" w:hAnsi="Cambria" w:cs="Times New Roman"/>
          <w:color w:val="000000"/>
          <w:lang w:val="uk-UA"/>
        </w:rPr>
      </w:pPr>
    </w:p>
    <w:p w14:paraId="393F43EF" w14:textId="77777777" w:rsidR="00180AD0" w:rsidRPr="00FD07AB" w:rsidRDefault="00180AD0" w:rsidP="00C7570C">
      <w:pPr>
        <w:jc w:val="both"/>
        <w:rPr>
          <w:rFonts w:ascii="Cambria" w:hAnsi="Cambria" w:cs="Times New Roman"/>
          <w:b/>
          <w:color w:val="000000"/>
          <w:lang w:val="uk-UA"/>
        </w:rPr>
      </w:pPr>
      <w:r w:rsidRPr="00FD07AB">
        <w:rPr>
          <w:rFonts w:ascii="Cambria" w:hAnsi="Cambria" w:cs="Times New Roman"/>
          <w:b/>
          <w:color w:val="000000"/>
          <w:lang w:val="uk-UA"/>
        </w:rPr>
        <w:t>Переваги:</w:t>
      </w:r>
    </w:p>
    <w:p w14:paraId="43AA0FC4" w14:textId="77777777" w:rsidR="00FD07AB" w:rsidRPr="00FD07AB" w:rsidRDefault="00FD07AB" w:rsidP="00C7570C">
      <w:pPr>
        <w:jc w:val="both"/>
        <w:rPr>
          <w:rFonts w:ascii="Cambria" w:hAnsi="Cambria" w:cs="Times New Roman"/>
          <w:b/>
          <w:lang w:val="uk-UA"/>
        </w:rPr>
      </w:pPr>
    </w:p>
    <w:p w14:paraId="4B1E0795" w14:textId="77777777" w:rsidR="00180AD0" w:rsidRPr="00FD07AB" w:rsidRDefault="00180AD0" w:rsidP="00C7570C">
      <w:pPr>
        <w:numPr>
          <w:ilvl w:val="0"/>
          <w:numId w:val="1"/>
        </w:numPr>
        <w:jc w:val="both"/>
        <w:textAlignment w:val="baseline"/>
        <w:rPr>
          <w:rFonts w:ascii="Cambria" w:hAnsi="Cambria" w:cs="Times New Roman"/>
          <w:color w:val="000000"/>
          <w:lang w:val="uk-UA"/>
        </w:rPr>
      </w:pPr>
      <w:r w:rsidRPr="00FD07AB">
        <w:rPr>
          <w:rFonts w:ascii="Cambria" w:hAnsi="Cambria" w:cs="Times New Roman"/>
          <w:color w:val="000000"/>
          <w:lang w:val="uk-UA"/>
        </w:rPr>
        <w:t>Логічна та зрозуміла послідовність дій для вирішення проблеми.</w:t>
      </w:r>
    </w:p>
    <w:p w14:paraId="5A15BE36" w14:textId="41303D41" w:rsidR="002E6A36" w:rsidRPr="00FD07AB" w:rsidRDefault="002E6A36" w:rsidP="00C7570C">
      <w:pPr>
        <w:numPr>
          <w:ilvl w:val="0"/>
          <w:numId w:val="1"/>
        </w:numPr>
        <w:jc w:val="both"/>
        <w:textAlignment w:val="baseline"/>
        <w:rPr>
          <w:rFonts w:ascii="Cambria" w:hAnsi="Cambria" w:cs="Times New Roman"/>
          <w:color w:val="000000"/>
          <w:lang w:val="uk-UA"/>
        </w:rPr>
      </w:pPr>
      <w:r w:rsidRPr="00FD07AB">
        <w:rPr>
          <w:rFonts w:ascii="Cambria" w:hAnsi="Cambria" w:cs="Times New Roman"/>
          <w:color w:val="000000"/>
          <w:lang w:val="uk-UA"/>
        </w:rPr>
        <w:t>Необхідні заходи реалізуються силами органу місцевого самоврядування</w:t>
      </w:r>
      <w:r w:rsidR="0022668C">
        <w:rPr>
          <w:rFonts w:ascii="Cambria" w:hAnsi="Cambria" w:cs="Times New Roman"/>
          <w:color w:val="000000"/>
          <w:lang w:val="uk-UA"/>
        </w:rPr>
        <w:t>.</w:t>
      </w:r>
    </w:p>
    <w:p w14:paraId="6E2BAEF6" w14:textId="77777777" w:rsidR="00FD07AB" w:rsidRPr="00FD07AB" w:rsidRDefault="00FD07AB" w:rsidP="00C7570C">
      <w:pPr>
        <w:jc w:val="both"/>
        <w:rPr>
          <w:rFonts w:ascii="Cambria" w:hAnsi="Cambria" w:cs="Times New Roman"/>
          <w:b/>
          <w:color w:val="000000"/>
          <w:lang w:val="uk-UA"/>
        </w:rPr>
      </w:pPr>
    </w:p>
    <w:p w14:paraId="0F2F0AB7" w14:textId="77777777" w:rsidR="00180AD0" w:rsidRPr="00FD07AB" w:rsidRDefault="00180AD0" w:rsidP="00C7570C">
      <w:pPr>
        <w:jc w:val="both"/>
        <w:rPr>
          <w:rFonts w:ascii="Cambria" w:hAnsi="Cambria" w:cs="Times New Roman"/>
          <w:b/>
          <w:color w:val="000000"/>
          <w:lang w:val="uk-UA"/>
        </w:rPr>
      </w:pPr>
      <w:r w:rsidRPr="00FD07AB">
        <w:rPr>
          <w:rFonts w:ascii="Cambria" w:hAnsi="Cambria" w:cs="Times New Roman"/>
          <w:b/>
          <w:color w:val="000000"/>
          <w:lang w:val="uk-UA"/>
        </w:rPr>
        <w:t>Недоліки:</w:t>
      </w:r>
    </w:p>
    <w:p w14:paraId="1CE40EA0" w14:textId="77777777" w:rsidR="00FD07AB" w:rsidRPr="00FD07AB" w:rsidRDefault="00FD07AB" w:rsidP="00C7570C">
      <w:pPr>
        <w:jc w:val="both"/>
        <w:rPr>
          <w:rFonts w:ascii="Cambria" w:hAnsi="Cambria" w:cs="Times New Roman"/>
          <w:b/>
          <w:lang w:val="uk-UA"/>
        </w:rPr>
      </w:pPr>
    </w:p>
    <w:p w14:paraId="1ABAD3F1" w14:textId="1D15E343" w:rsidR="00180AD0" w:rsidRPr="00FD07AB" w:rsidRDefault="0022668C" w:rsidP="00C7570C">
      <w:pPr>
        <w:numPr>
          <w:ilvl w:val="0"/>
          <w:numId w:val="2"/>
        </w:numPr>
        <w:jc w:val="both"/>
        <w:textAlignment w:val="baseline"/>
        <w:rPr>
          <w:rFonts w:ascii="Cambria" w:hAnsi="Cambria" w:cs="Times New Roman"/>
          <w:color w:val="000000"/>
          <w:lang w:val="uk-UA"/>
        </w:rPr>
      </w:pPr>
      <w:r>
        <w:rPr>
          <w:rFonts w:ascii="Cambria" w:hAnsi="Cambria" w:cs="Times New Roman"/>
          <w:color w:val="000000"/>
          <w:lang w:val="uk-UA"/>
        </w:rPr>
        <w:t>Незалученість</w:t>
      </w:r>
      <w:r w:rsidR="00180AD0" w:rsidRPr="00FD07AB">
        <w:rPr>
          <w:rFonts w:ascii="Cambria" w:hAnsi="Cambria" w:cs="Times New Roman"/>
          <w:color w:val="000000"/>
          <w:lang w:val="uk-UA"/>
        </w:rPr>
        <w:t xml:space="preserve"> громади до процесу прийняття рішень (затвердження архетипів).</w:t>
      </w:r>
    </w:p>
    <w:p w14:paraId="0C6186A4" w14:textId="6BBC3E1B" w:rsidR="00180AD0" w:rsidRPr="00FD07AB" w:rsidRDefault="00180AD0" w:rsidP="00C7570C">
      <w:pPr>
        <w:numPr>
          <w:ilvl w:val="0"/>
          <w:numId w:val="2"/>
        </w:numPr>
        <w:jc w:val="both"/>
        <w:textAlignment w:val="baseline"/>
        <w:rPr>
          <w:rFonts w:ascii="Cambria" w:hAnsi="Cambria" w:cs="Times New Roman"/>
          <w:color w:val="000000"/>
          <w:lang w:val="uk-UA"/>
        </w:rPr>
      </w:pPr>
      <w:r w:rsidRPr="00FD07AB">
        <w:rPr>
          <w:rFonts w:ascii="Cambria" w:hAnsi="Cambria" w:cs="Times New Roman"/>
          <w:color w:val="000000"/>
          <w:lang w:val="uk-UA"/>
        </w:rPr>
        <w:t>Мінімальна конкуренція серед підприємців через отримання права на подовження дозволу на ведення підприємницької діяльності</w:t>
      </w:r>
      <w:r w:rsidR="0022668C">
        <w:rPr>
          <w:rFonts w:ascii="Cambria" w:hAnsi="Cambria" w:cs="Times New Roman"/>
          <w:color w:val="000000"/>
          <w:lang w:val="uk-UA"/>
        </w:rPr>
        <w:t>.</w:t>
      </w:r>
    </w:p>
    <w:p w14:paraId="1476FD00" w14:textId="60915F4C" w:rsidR="00180AD0" w:rsidRPr="00FD07AB" w:rsidRDefault="00180AD0" w:rsidP="00C7570C">
      <w:pPr>
        <w:numPr>
          <w:ilvl w:val="0"/>
          <w:numId w:val="2"/>
        </w:numPr>
        <w:jc w:val="both"/>
        <w:textAlignment w:val="baseline"/>
        <w:rPr>
          <w:rFonts w:ascii="Cambria" w:hAnsi="Cambria" w:cs="Times New Roman"/>
          <w:color w:val="000000"/>
          <w:lang w:val="uk-UA"/>
        </w:rPr>
      </w:pPr>
      <w:r w:rsidRPr="00FD07AB">
        <w:rPr>
          <w:rFonts w:ascii="Cambria" w:hAnsi="Cambria" w:cs="Times New Roman"/>
          <w:color w:val="000000"/>
          <w:lang w:val="uk-UA"/>
        </w:rPr>
        <w:t>Обурення та супротив підприємців нововведеннями (комусь подовжать дозвіл, комусь</w:t>
      </w:r>
      <w:r w:rsidR="0022668C">
        <w:rPr>
          <w:rFonts w:ascii="Cambria" w:hAnsi="Cambria" w:cs="Times New Roman"/>
          <w:color w:val="000000"/>
          <w:lang w:val="uk-UA"/>
        </w:rPr>
        <w:t xml:space="preserve"> –</w:t>
      </w:r>
      <w:r w:rsidRPr="00FD07AB">
        <w:rPr>
          <w:rFonts w:ascii="Cambria" w:hAnsi="Cambria" w:cs="Times New Roman"/>
          <w:color w:val="000000"/>
          <w:lang w:val="uk-UA"/>
        </w:rPr>
        <w:t xml:space="preserve"> ні), а також через необхідність придбання нових споруд.</w:t>
      </w:r>
    </w:p>
    <w:p w14:paraId="33D49E0D" w14:textId="08A8E4DB" w:rsidR="00180AD0" w:rsidRPr="00FD07AB" w:rsidRDefault="0022668C" w:rsidP="00C7570C">
      <w:pPr>
        <w:numPr>
          <w:ilvl w:val="0"/>
          <w:numId w:val="2"/>
        </w:numPr>
        <w:jc w:val="both"/>
        <w:textAlignment w:val="baseline"/>
        <w:rPr>
          <w:rFonts w:ascii="Cambria" w:hAnsi="Cambria" w:cs="Times New Roman"/>
          <w:color w:val="000000"/>
          <w:lang w:val="uk-UA"/>
        </w:rPr>
      </w:pPr>
      <w:r>
        <w:rPr>
          <w:rFonts w:ascii="Cambria" w:hAnsi="Cambria" w:cs="Times New Roman"/>
          <w:color w:val="000000"/>
          <w:lang w:val="uk-UA"/>
        </w:rPr>
        <w:t>Корупційні ризики</w:t>
      </w:r>
      <w:r w:rsidR="00180AD0" w:rsidRPr="00FD07AB">
        <w:rPr>
          <w:rFonts w:ascii="Cambria" w:hAnsi="Cambria" w:cs="Times New Roman"/>
          <w:color w:val="000000"/>
          <w:lang w:val="uk-UA"/>
        </w:rPr>
        <w:t>.</w:t>
      </w:r>
    </w:p>
    <w:p w14:paraId="7EC02346" w14:textId="77777777" w:rsidR="00EE6288" w:rsidRPr="00FD07AB" w:rsidRDefault="009D0653" w:rsidP="00C7570C">
      <w:pPr>
        <w:numPr>
          <w:ilvl w:val="0"/>
          <w:numId w:val="2"/>
        </w:numPr>
        <w:jc w:val="both"/>
        <w:textAlignment w:val="baseline"/>
        <w:rPr>
          <w:rFonts w:ascii="Cambria" w:hAnsi="Cambria" w:cs="Times New Roman"/>
          <w:color w:val="000000"/>
          <w:lang w:val="uk-UA"/>
        </w:rPr>
      </w:pPr>
      <w:r w:rsidRPr="00FD07AB">
        <w:rPr>
          <w:rFonts w:ascii="Cambria" w:hAnsi="Cambria" w:cs="Times New Roman"/>
          <w:color w:val="000000"/>
          <w:lang w:val="uk-UA"/>
        </w:rPr>
        <w:t>Неможливість нада</w:t>
      </w:r>
      <w:bookmarkStart w:id="0" w:name="_GoBack"/>
      <w:bookmarkEnd w:id="0"/>
      <w:r w:rsidRPr="00FD07AB">
        <w:rPr>
          <w:rFonts w:ascii="Cambria" w:hAnsi="Cambria" w:cs="Times New Roman"/>
          <w:color w:val="000000"/>
          <w:lang w:val="uk-UA"/>
        </w:rPr>
        <w:t>ти прогноз по термінах реалізації заходів</w:t>
      </w:r>
      <w:r w:rsidR="00C7570C" w:rsidRPr="00FD07AB">
        <w:rPr>
          <w:rFonts w:ascii="Cambria" w:hAnsi="Cambria" w:cs="Times New Roman"/>
          <w:color w:val="000000"/>
          <w:lang w:val="uk-UA"/>
        </w:rPr>
        <w:t>.</w:t>
      </w:r>
    </w:p>
    <w:sectPr w:rsidR="00EE6288" w:rsidRPr="00FD07AB" w:rsidSect="00C7570C">
      <w:pgSz w:w="11906" w:h="16838"/>
      <w:pgMar w:top="709" w:right="850" w:bottom="81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C0E"/>
    <w:multiLevelType w:val="hybridMultilevel"/>
    <w:tmpl w:val="4686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018A7"/>
    <w:multiLevelType w:val="hybridMultilevel"/>
    <w:tmpl w:val="2D4E5F1A"/>
    <w:lvl w:ilvl="0" w:tplc="23086BF6">
      <w:start w:val="1"/>
      <w:numFmt w:val="decimal"/>
      <w:lvlText w:val="%1."/>
      <w:lvlJc w:val="left"/>
      <w:pPr>
        <w:ind w:left="1275" w:hanging="360"/>
      </w:pPr>
      <w:rPr>
        <w:rFonts w:hint="default"/>
        <w:color w:val="auto"/>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
    <w:nsid w:val="511B2F26"/>
    <w:multiLevelType w:val="multilevel"/>
    <w:tmpl w:val="F632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AC3E60"/>
    <w:multiLevelType w:val="multilevel"/>
    <w:tmpl w:val="7952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CA0E70"/>
    <w:multiLevelType w:val="hybridMultilevel"/>
    <w:tmpl w:val="00529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5A5FC5"/>
    <w:multiLevelType w:val="multilevel"/>
    <w:tmpl w:val="E8C42944"/>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288"/>
    <w:rsid w:val="000B1DB3"/>
    <w:rsid w:val="00180AD0"/>
    <w:rsid w:val="00193B59"/>
    <w:rsid w:val="0022668C"/>
    <w:rsid w:val="002E6A36"/>
    <w:rsid w:val="004275FC"/>
    <w:rsid w:val="009D0653"/>
    <w:rsid w:val="00AA2A9A"/>
    <w:rsid w:val="00C7570C"/>
    <w:rsid w:val="00EE6288"/>
    <w:rsid w:val="00FD07A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10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288"/>
    <w:pPr>
      <w:spacing w:after="0" w:line="240" w:lineRule="auto"/>
    </w:pPr>
    <w:rPr>
      <w:rFonts w:ascii="Helvetica Neue" w:hAnsi="Helvetica Neue"/>
      <w:sz w:val="24"/>
      <w:szCs w:val="24"/>
    </w:rPr>
  </w:style>
  <w:style w:type="paragraph" w:styleId="Heading1">
    <w:name w:val="heading 1"/>
    <w:basedOn w:val="Normal"/>
    <w:link w:val="Heading1Char"/>
    <w:uiPriority w:val="9"/>
    <w:qFormat/>
    <w:rsid w:val="009D0653"/>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288"/>
    <w:pPr>
      <w:ind w:left="720"/>
      <w:contextualSpacing/>
    </w:pPr>
  </w:style>
  <w:style w:type="character" w:customStyle="1" w:styleId="Heading1Char">
    <w:name w:val="Heading 1 Char"/>
    <w:basedOn w:val="DefaultParagraphFont"/>
    <w:link w:val="Heading1"/>
    <w:uiPriority w:val="9"/>
    <w:rsid w:val="009D0653"/>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DefaultParagraphFont"/>
    <w:rsid w:val="009D06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288"/>
    <w:pPr>
      <w:spacing w:after="0" w:line="240" w:lineRule="auto"/>
    </w:pPr>
    <w:rPr>
      <w:rFonts w:ascii="Helvetica Neue" w:hAnsi="Helvetica Neue"/>
      <w:sz w:val="24"/>
      <w:szCs w:val="24"/>
    </w:rPr>
  </w:style>
  <w:style w:type="paragraph" w:styleId="Heading1">
    <w:name w:val="heading 1"/>
    <w:basedOn w:val="Normal"/>
    <w:link w:val="Heading1Char"/>
    <w:uiPriority w:val="9"/>
    <w:qFormat/>
    <w:rsid w:val="009D0653"/>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288"/>
    <w:pPr>
      <w:ind w:left="720"/>
      <w:contextualSpacing/>
    </w:pPr>
  </w:style>
  <w:style w:type="character" w:customStyle="1" w:styleId="Heading1Char">
    <w:name w:val="Heading 1 Char"/>
    <w:basedOn w:val="DefaultParagraphFont"/>
    <w:link w:val="Heading1"/>
    <w:uiPriority w:val="9"/>
    <w:rsid w:val="009D0653"/>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DefaultParagraphFont"/>
    <w:rsid w:val="009D0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268047">
      <w:bodyDiv w:val="1"/>
      <w:marLeft w:val="0"/>
      <w:marRight w:val="0"/>
      <w:marTop w:val="0"/>
      <w:marBottom w:val="0"/>
      <w:divBdr>
        <w:top w:val="none" w:sz="0" w:space="0" w:color="auto"/>
        <w:left w:val="none" w:sz="0" w:space="0" w:color="auto"/>
        <w:bottom w:val="none" w:sz="0" w:space="0" w:color="auto"/>
        <w:right w:val="none" w:sz="0" w:space="0" w:color="auto"/>
      </w:divBdr>
    </w:div>
    <w:div w:id="208791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2057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Tanya</cp:lastModifiedBy>
  <cp:revision>2</cp:revision>
  <dcterms:created xsi:type="dcterms:W3CDTF">2016-11-20T20:05:00Z</dcterms:created>
  <dcterms:modified xsi:type="dcterms:W3CDTF">2016-11-20T20:05:00Z</dcterms:modified>
</cp:coreProperties>
</file>