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FA" w:rsidRPr="004428C9" w:rsidRDefault="00C759FA" w:rsidP="00C759FA">
      <w:pPr>
        <w:spacing w:before="400" w:after="120"/>
        <w:jc w:val="both"/>
        <w:outlineLvl w:val="0"/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</w:pPr>
      <w:bookmarkStart w:id="0" w:name="_GoBack"/>
      <w:bookmarkEnd w:id="0"/>
      <w:r w:rsidRPr="004428C9"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  <w:t>Проблема №2</w:t>
      </w:r>
    </w:p>
    <w:p w:rsidR="00C759FA" w:rsidRPr="004428C9" w:rsidRDefault="00C759FA" w:rsidP="00C759FA">
      <w:pPr>
        <w:spacing w:before="400" w:after="12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uk-UA"/>
        </w:rPr>
      </w:pPr>
      <w:r w:rsidRPr="004428C9"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  <w:t>Розміщення реклами на вулиці Соборна</w:t>
      </w:r>
    </w:p>
    <w:p w:rsidR="00C759FA" w:rsidRPr="004428C9" w:rsidRDefault="00C759FA" w:rsidP="00C759FA">
      <w:pPr>
        <w:spacing w:before="400" w:after="120"/>
        <w:jc w:val="both"/>
        <w:outlineLvl w:val="0"/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</w:pPr>
      <w:r w:rsidRPr="004428C9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Надзвичайна кількість рекламних площ (білборди, сіті-лайти, банери, плакати, пересувні стенди і т.д.)  різної форми у місті створює візуальне “сміття”, закриває фасади будинків, знаки дорожнього руху, заважає руху пішоходів та спотворює естетичний вигляд вулиці.</w:t>
      </w:r>
      <w:r w:rsidRPr="004428C9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uk-UA"/>
        </w:rPr>
        <w:t xml:space="preserve"> </w:t>
      </w:r>
      <w:r w:rsidRPr="004428C9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 xml:space="preserve">Звукова реклама генерує шумове забруднення, дратує та негативно впливає на психічний стан місцевих жителів та перехожих. Реклама стає занадто нав’язливою, від неї важко абстрагуватися. </w:t>
      </w:r>
    </w:p>
    <w:p w:rsidR="00C759FA" w:rsidRPr="004428C9" w:rsidRDefault="00C759FA" w:rsidP="00C759FA">
      <w:pPr>
        <w:spacing w:before="360" w:after="120"/>
        <w:jc w:val="both"/>
        <w:outlineLvl w:val="1"/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</w:pPr>
      <w:r w:rsidRPr="004428C9"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  <w:t>Варіант 1</w:t>
      </w:r>
    </w:p>
    <w:p w:rsidR="00C759FA" w:rsidRPr="004428C9" w:rsidRDefault="00C759FA" w:rsidP="00C759FA">
      <w:pPr>
        <w:numPr>
          <w:ilvl w:val="0"/>
          <w:numId w:val="3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Провести моніторинг та інвентаризацію рекламних конструкцій спільно з поліцією. Демонтувати всі нелегально встановлені та ті, що створюють небезпеку дорожньому руху (реклама біля доріг, що закриває видимість дорожніх знаків, поворотів, перехресть, кільцевого руху, пішохідних переходів, тощо).</w:t>
      </w:r>
    </w:p>
    <w:p w:rsidR="00C759FA" w:rsidRPr="004428C9" w:rsidRDefault="00C759FA" w:rsidP="00C759FA">
      <w:pPr>
        <w:numPr>
          <w:ilvl w:val="0"/>
          <w:numId w:val="3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Заборонити звукову рекламу рішенням виконавчого комітету.</w:t>
      </w:r>
    </w:p>
    <w:p w:rsidR="00C759FA" w:rsidRPr="004428C9" w:rsidRDefault="00C759FA" w:rsidP="00C759FA">
      <w:pPr>
        <w:numPr>
          <w:ilvl w:val="0"/>
          <w:numId w:val="3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Відділ планування, забудови міста та зовнішньої реклами Миколаївської міської ради розробляє та затверджує комплексну схему та правила розміщення рекламних носіїв в місті (окремі правила для історичного центру міста).</w:t>
      </w:r>
    </w:p>
    <w:p w:rsidR="00C759FA" w:rsidRPr="004428C9" w:rsidRDefault="00C759FA" w:rsidP="00C759FA">
      <w:pPr>
        <w:numPr>
          <w:ilvl w:val="0"/>
          <w:numId w:val="3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Не подовжувати дозволи на рекламні носії, що не відповідають затвердженій комплексній схемі та правилам.</w:t>
      </w:r>
    </w:p>
    <w:p w:rsidR="00C759FA" w:rsidRPr="004428C9" w:rsidRDefault="00C759FA" w:rsidP="00C759FA">
      <w:pPr>
        <w:numPr>
          <w:ilvl w:val="0"/>
          <w:numId w:val="3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Демонтувати рекламні конструкції силами муніципальних служб у разі їх залишення власниками після закінчення дозволів.</w:t>
      </w:r>
    </w:p>
    <w:p w:rsidR="00C759FA" w:rsidRPr="004428C9" w:rsidRDefault="00C759FA" w:rsidP="00C759FA">
      <w:pPr>
        <w:numPr>
          <w:ilvl w:val="0"/>
          <w:numId w:val="3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Контроль покласти на виконавчі органи Миколаївської міської ради та патрульну поліцію міста Миколаєва.</w:t>
      </w:r>
    </w:p>
    <w:p w:rsidR="00C759FA" w:rsidRPr="004428C9" w:rsidRDefault="00C759FA" w:rsidP="00C759FA">
      <w:pPr>
        <w:jc w:val="both"/>
        <w:rPr>
          <w:rFonts w:ascii="Cambria" w:eastAsia="Times New Roman" w:hAnsi="Cambria" w:cs="Times New Roman"/>
          <w:sz w:val="28"/>
          <w:szCs w:val="28"/>
          <w:lang w:val="uk-UA"/>
        </w:rPr>
      </w:pPr>
    </w:p>
    <w:p w:rsidR="00C759FA" w:rsidRPr="004428C9" w:rsidRDefault="00C759FA" w:rsidP="00C759FA">
      <w:pPr>
        <w:jc w:val="both"/>
        <w:rPr>
          <w:rFonts w:ascii="Cambria" w:hAnsi="Cambria" w:cs="Times New Roman"/>
          <w:b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b/>
          <w:color w:val="000000"/>
          <w:sz w:val="28"/>
          <w:szCs w:val="28"/>
          <w:lang w:val="uk-UA"/>
        </w:rPr>
        <w:t>Переваги:</w:t>
      </w:r>
    </w:p>
    <w:p w:rsidR="00C759FA" w:rsidRPr="004428C9" w:rsidRDefault="00C759FA" w:rsidP="00C759FA">
      <w:pPr>
        <w:jc w:val="both"/>
        <w:rPr>
          <w:rFonts w:ascii="Cambria" w:hAnsi="Cambria" w:cs="Times New Roman"/>
          <w:b/>
          <w:sz w:val="28"/>
          <w:szCs w:val="28"/>
          <w:lang w:val="uk-UA"/>
        </w:rPr>
      </w:pPr>
    </w:p>
    <w:p w:rsidR="00C759FA" w:rsidRPr="004428C9" w:rsidRDefault="00C759FA" w:rsidP="00C759FA">
      <w:pPr>
        <w:numPr>
          <w:ilvl w:val="0"/>
          <w:numId w:val="1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Чітка та зрозуміла послідовність дій.</w:t>
      </w:r>
    </w:p>
    <w:p w:rsidR="00C759FA" w:rsidRPr="004428C9" w:rsidRDefault="00C759FA" w:rsidP="00C759FA">
      <w:pPr>
        <w:jc w:val="both"/>
        <w:rPr>
          <w:rFonts w:ascii="Cambria" w:hAnsi="Cambria" w:cs="Times New Roman"/>
          <w:color w:val="000000"/>
          <w:sz w:val="28"/>
          <w:szCs w:val="28"/>
          <w:lang w:val="uk-UA"/>
        </w:rPr>
      </w:pPr>
    </w:p>
    <w:p w:rsidR="00C759FA" w:rsidRPr="004428C9" w:rsidRDefault="00C759FA" w:rsidP="00C759FA">
      <w:pPr>
        <w:jc w:val="both"/>
        <w:rPr>
          <w:rFonts w:ascii="Cambria" w:hAnsi="Cambria" w:cs="Times New Roman"/>
          <w:b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b/>
          <w:color w:val="000000"/>
          <w:sz w:val="28"/>
          <w:szCs w:val="28"/>
          <w:lang w:val="uk-UA"/>
        </w:rPr>
        <w:t>Недоліки:</w:t>
      </w:r>
    </w:p>
    <w:p w:rsidR="00C759FA" w:rsidRPr="004428C9" w:rsidRDefault="00C759FA" w:rsidP="00C759FA">
      <w:pPr>
        <w:jc w:val="both"/>
        <w:rPr>
          <w:rFonts w:ascii="Cambria" w:hAnsi="Cambria" w:cs="Times New Roman"/>
          <w:sz w:val="28"/>
          <w:szCs w:val="28"/>
          <w:lang w:val="uk-UA"/>
        </w:rPr>
      </w:pPr>
    </w:p>
    <w:p w:rsidR="00C759FA" w:rsidRPr="004428C9" w:rsidRDefault="00C759FA" w:rsidP="00C759FA">
      <w:pPr>
        <w:numPr>
          <w:ilvl w:val="0"/>
          <w:numId w:val="2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Незалученість громади до процесу прийняття рішень (самостійне затвердження правил та комплексної схеми органами влади).</w:t>
      </w:r>
    </w:p>
    <w:p w:rsidR="00C759FA" w:rsidRPr="004428C9" w:rsidRDefault="00C759FA" w:rsidP="00C759FA">
      <w:pPr>
        <w:numPr>
          <w:ilvl w:val="0"/>
          <w:numId w:val="2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4428C9">
        <w:rPr>
          <w:rFonts w:ascii="Cambria" w:hAnsi="Cambria" w:cs="Times New Roman"/>
          <w:color w:val="000000"/>
          <w:sz w:val="28"/>
          <w:szCs w:val="28"/>
          <w:lang w:val="uk-UA"/>
        </w:rPr>
        <w:t>Обурення та супротив підприємців під час демонтажу конструкцій.</w:t>
      </w:r>
    </w:p>
    <w:p w:rsidR="0067095C" w:rsidRPr="00C759FA" w:rsidRDefault="0067095C">
      <w:pPr>
        <w:rPr>
          <w:lang w:val="en-US"/>
        </w:rPr>
      </w:pPr>
    </w:p>
    <w:sectPr w:rsidR="0067095C" w:rsidRPr="00C759FA" w:rsidSect="00C759FA">
      <w:pgSz w:w="11900" w:h="16840"/>
      <w:pgMar w:top="709" w:right="112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3339"/>
    <w:multiLevelType w:val="hybridMultilevel"/>
    <w:tmpl w:val="864A6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2CEB"/>
    <w:multiLevelType w:val="multilevel"/>
    <w:tmpl w:val="DFD0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C78A7"/>
    <w:multiLevelType w:val="multilevel"/>
    <w:tmpl w:val="02E6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FA"/>
    <w:rsid w:val="0067095C"/>
    <w:rsid w:val="00C7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FA"/>
    <w:rPr>
      <w:rFonts w:ascii="Helvetica Neue" w:eastAsiaTheme="minorHAnsi" w:hAnsi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FA"/>
    <w:rPr>
      <w:rFonts w:ascii="Helvetica Neue" w:eastAsiaTheme="minorHAnsi" w:hAnsi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Macintosh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2016-11-20T20:12:00Z</dcterms:created>
  <dcterms:modified xsi:type="dcterms:W3CDTF">2016-11-20T20:13:00Z</dcterms:modified>
</cp:coreProperties>
</file>