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0" w:rsidRPr="00826060" w:rsidRDefault="00826060" w:rsidP="00826060">
      <w:pPr>
        <w:spacing w:before="400" w:after="120"/>
        <w:outlineLvl w:val="0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 w:rsidRPr="00826060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 xml:space="preserve">Проблема №3 </w:t>
      </w:r>
    </w:p>
    <w:p w:rsidR="00826060" w:rsidRPr="00826060" w:rsidRDefault="00826060" w:rsidP="00826060">
      <w:pPr>
        <w:spacing w:before="400" w:after="120"/>
        <w:outlineLvl w:val="0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 w:rsidRPr="00826060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Зміна приватними власниками квартир та приміщень оригінального вигляду фасадів будинків</w:t>
      </w:r>
    </w:p>
    <w:p w:rsidR="00826060" w:rsidRPr="00826060" w:rsidRDefault="00826060" w:rsidP="00826060">
      <w:pPr>
        <w:spacing w:before="400" w:after="120"/>
        <w:ind w:firstLine="708"/>
        <w:jc w:val="both"/>
        <w:outlineLvl w:val="0"/>
        <w:rPr>
          <w:rFonts w:ascii="Cambria" w:eastAsia="Times New Roman" w:hAnsi="Cambria" w:cs="Times New Roman"/>
          <w:bCs/>
          <w:kern w:val="36"/>
          <w:sz w:val="28"/>
          <w:szCs w:val="28"/>
          <w:lang w:val="uk-UA"/>
        </w:rPr>
      </w:pPr>
      <w:r w:rsidRPr="00826060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Зміна приватними власниками квартир та приміщень оригінального вигляду фасадів будинків (кондиціонери, спутрикові тарілки, скління балконів, утеплення, прибудови, надбудови та інше) з порушенням Державних будівельних норм. Порушення оригінального вигляду фасадів підприємцями на перших поверхах (великі вивіски, банери, інформаційні таблички)</w:t>
      </w:r>
      <w:r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.</w:t>
      </w:r>
    </w:p>
    <w:p w:rsidR="00826060" w:rsidRPr="00826060" w:rsidRDefault="00826060" w:rsidP="00826060">
      <w:pPr>
        <w:ind w:firstLine="708"/>
        <w:jc w:val="both"/>
        <w:rPr>
          <w:rFonts w:ascii="Cambria" w:hAnsi="Cambria" w:cs="Times New Roman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Як результат, у центральній частині міста вже спотворено багато фасадів визначних на локальному рівні архітектурних пам’яток</w:t>
      </w:r>
      <w:r>
        <w:rPr>
          <w:rFonts w:ascii="Cambria" w:hAnsi="Cambria" w:cs="Times New Roman"/>
          <w:color w:val="000000"/>
          <w:sz w:val="28"/>
          <w:szCs w:val="28"/>
          <w:lang w:val="uk-UA"/>
        </w:rPr>
        <w:t>. Створені прибудови займають</w:t>
      </w: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пішохідний простір. Відсутність системи контролю та стягнень породжує безвідповідальність жителів міста та підприємців. Спотворені будинки впливають на загальний вигляд центральної вулиці міста, роблять її непривабливою та некомфортною.</w:t>
      </w:r>
    </w:p>
    <w:p w:rsidR="00826060" w:rsidRPr="00826060" w:rsidRDefault="00826060" w:rsidP="00826060">
      <w:pPr>
        <w:spacing w:before="360" w:after="120"/>
        <w:outlineLvl w:val="1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 xml:space="preserve">Варіант </w:t>
      </w:r>
      <w:r w:rsidRPr="00826060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1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Проведення інспекції вулиці з визначенням усіх проблемних місць з залученням громадськості. Скласти перелік проблемних питань з подальшим розміщенням на офіційному сайті Миколаївської міської ради з можливістю його доповнення.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Демонтаж незаконно встановлених прибудов та конструкцій</w:t>
      </w:r>
      <w:r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у разі</w:t>
      </w: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виявлення фактів захоплення земельних ділянок або самочинного будівництва.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Проведення інформаційної компанії з попередження подальшого скління балконів, виконання прибудов та надбудов для окремих квартир (можливо у разі реалізації комплексного проекту) та інших порушень будівельних норм.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Довести до Миколаївської міської ради думку громади стосовно заборони відведення земельних ділянок за рахунок тротуарних, прибудинкових і зелених зон для будівництва окремих прибудов</w:t>
      </w:r>
      <w:r>
        <w:rPr>
          <w:rFonts w:ascii="Cambria" w:hAnsi="Cambria" w:cs="Times New Roman"/>
          <w:color w:val="000000"/>
          <w:sz w:val="28"/>
          <w:szCs w:val="28"/>
          <w:lang w:val="uk-UA"/>
        </w:rPr>
        <w:t>, вхідних груп до наявних</w:t>
      </w: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будинків.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Миколаївській міській раді визначити червоні лінії вулиці Соборної та затвердити місцеві правила забудови. Видавати відповідні документи на забудову з урахуванням затверджених рішень.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lastRenderedPageBreak/>
        <w:t>Миколаївській міській раді створити відкритий містобудівний кадастр для можливості у реальному часі відстежувати порушення затверджених вимог.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99" w:hanging="578"/>
        <w:jc w:val="both"/>
        <w:textAlignment w:val="baseline"/>
        <w:rPr>
          <w:rFonts w:ascii="Cambria" w:eastAsia="Times New Roman" w:hAnsi="Cambria" w:cs="Times New Roman"/>
          <w:color w:val="000000"/>
          <w:sz w:val="28"/>
          <w:szCs w:val="28"/>
          <w:lang w:val="uk-UA" w:eastAsia="ru-RU"/>
        </w:rPr>
      </w:pPr>
      <w:r w:rsidRPr="00826060">
        <w:rPr>
          <w:rFonts w:ascii="Cambria" w:eastAsia="Times New Roman" w:hAnsi="Cambria" w:cs="Times New Roman"/>
          <w:bCs/>
          <w:sz w:val="28"/>
          <w:szCs w:val="28"/>
          <w:lang w:val="uk-UA"/>
        </w:rPr>
        <w:t>Провести відкритий конкурс серед містян</w:t>
      </w:r>
      <w:r>
        <w:rPr>
          <w:rFonts w:ascii="Cambria" w:eastAsia="Times New Roman" w:hAnsi="Cambria" w:cs="Times New Roman"/>
          <w:bCs/>
          <w:sz w:val="28"/>
          <w:szCs w:val="28"/>
          <w:lang w:val="uk-UA"/>
        </w:rPr>
        <w:t xml:space="preserve"> з розробки</w:t>
      </w:r>
      <w:r w:rsidRPr="00826060">
        <w:rPr>
          <w:rFonts w:ascii="Cambria" w:eastAsia="Times New Roman" w:hAnsi="Cambria" w:cs="Times New Roman"/>
          <w:bCs/>
          <w:sz w:val="28"/>
          <w:szCs w:val="28"/>
          <w:lang w:val="uk-UA"/>
        </w:rPr>
        <w:t xml:space="preserve"> правил (рекомендацій) розміщення та вигляду типових рекламних вивісок на</w:t>
      </w:r>
      <w:r w:rsidRPr="00826060">
        <w:rPr>
          <w:rFonts w:ascii="Cambria" w:eastAsia="Times New Roman" w:hAnsi="Cambria" w:cs="Times New Roman"/>
          <w:color w:val="000000"/>
          <w:sz w:val="28"/>
          <w:szCs w:val="28"/>
          <w:lang w:val="uk-UA" w:eastAsia="ru-RU"/>
        </w:rPr>
        <w:t xml:space="preserve"> територій </w:t>
      </w:r>
      <w:r w:rsidRPr="00826060">
        <w:rPr>
          <w:rFonts w:ascii="Cambria" w:eastAsia="Times New Roman" w:hAnsi="Cambria" w:cs="Times New Roman"/>
          <w:bCs/>
          <w:sz w:val="28"/>
          <w:szCs w:val="28"/>
          <w:lang w:val="uk-UA"/>
        </w:rPr>
        <w:t xml:space="preserve">вулиці </w:t>
      </w:r>
      <w:r w:rsidRPr="00826060">
        <w:rPr>
          <w:rFonts w:ascii="Cambria" w:eastAsia="Times New Roman" w:hAnsi="Cambria" w:cs="Times New Roman"/>
          <w:color w:val="000000"/>
          <w:sz w:val="28"/>
          <w:szCs w:val="28"/>
          <w:lang w:val="uk-UA" w:eastAsia="ru-RU"/>
        </w:rPr>
        <w:t xml:space="preserve">Соборної. 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tabs>
          <w:tab w:val="left" w:pos="284"/>
        </w:tabs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Управлінню архітектури та містобудування Миколаївської міської ради розробити та затвердити правила та порядок розміщення вивісок на фасадах</w:t>
      </w:r>
      <w:r w:rsidRPr="00826060">
        <w:rPr>
          <w:rFonts w:ascii="Cambria" w:eastAsia="Times New Roman" w:hAnsi="Cambria" w:cs="Times New Roman"/>
          <w:bCs/>
          <w:sz w:val="28"/>
          <w:szCs w:val="28"/>
          <w:lang w:val="uk-UA"/>
        </w:rPr>
        <w:t xml:space="preserve"> </w:t>
      </w: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для вулиці Соборної.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Провести інформаційну кампанію серед підприємців та виробників вивісок та реклами.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Дати термін для приведення усіх вивісок у відповідність затвердженим правилам.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Після завершення оголошеного терміну Миколаївській міській раді демонтувати всі вивіски, що не відповідають затвердженим правилам та накласти відповідні стягнення за порушення вимог благоустрою.</w:t>
      </w:r>
    </w:p>
    <w:p w:rsidR="00826060" w:rsidRP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Дизайн нових вивісок та табличок узгоджувати на відповідність затвердженим правилам.</w:t>
      </w:r>
    </w:p>
    <w:p w:rsidR="00826060" w:rsidRDefault="00826060" w:rsidP="00826060">
      <w:pPr>
        <w:pStyle w:val="ListParagraph"/>
        <w:numPr>
          <w:ilvl w:val="0"/>
          <w:numId w:val="4"/>
        </w:numPr>
        <w:ind w:right="-99" w:hanging="578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Миколаївська міська рада попереджує порушення та правила розміщення вивісок.</w:t>
      </w:r>
    </w:p>
    <w:p w:rsidR="00826060" w:rsidRPr="00826060" w:rsidRDefault="00826060" w:rsidP="00826060">
      <w:pPr>
        <w:pStyle w:val="ListParagraph"/>
        <w:ind w:right="-99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</w:p>
    <w:p w:rsidR="00826060" w:rsidRDefault="00826060" w:rsidP="00826060">
      <w:pPr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b/>
          <w:color w:val="000000"/>
          <w:sz w:val="28"/>
          <w:szCs w:val="28"/>
          <w:lang w:val="uk-UA"/>
        </w:rPr>
        <w:t>Недоліки:</w:t>
      </w:r>
    </w:p>
    <w:p w:rsidR="00826060" w:rsidRPr="00826060" w:rsidRDefault="00826060" w:rsidP="00826060">
      <w:pPr>
        <w:rPr>
          <w:rFonts w:ascii="Cambria" w:hAnsi="Cambria" w:cs="Times New Roman"/>
          <w:b/>
          <w:sz w:val="28"/>
          <w:szCs w:val="28"/>
          <w:lang w:val="uk-UA"/>
        </w:rPr>
      </w:pPr>
    </w:p>
    <w:p w:rsidR="00826060" w:rsidRPr="00826060" w:rsidRDefault="00826060" w:rsidP="00826060">
      <w:pPr>
        <w:numPr>
          <w:ilvl w:val="0"/>
          <w:numId w:val="2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Можливе обуре</w:t>
      </w:r>
      <w:r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ння та супротив підприємців під </w:t>
      </w: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час демонтажу конструкцій.</w:t>
      </w:r>
    </w:p>
    <w:p w:rsidR="00826060" w:rsidRPr="00826060" w:rsidRDefault="00826060" w:rsidP="00826060">
      <w:pPr>
        <w:numPr>
          <w:ilvl w:val="0"/>
          <w:numId w:val="2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Неможливість змусити власників квартир демонтувати скління балконів через суперечливість нормативно-правових актів які регулюють вказані відносини.</w:t>
      </w:r>
    </w:p>
    <w:p w:rsidR="00826060" w:rsidRPr="00826060" w:rsidRDefault="00826060" w:rsidP="00826060">
      <w:pPr>
        <w:numPr>
          <w:ilvl w:val="0"/>
          <w:numId w:val="2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Неможливіст</w:t>
      </w:r>
      <w:r>
        <w:rPr>
          <w:rFonts w:ascii="Cambria" w:hAnsi="Cambria" w:cs="Times New Roman"/>
          <w:color w:val="000000"/>
          <w:sz w:val="28"/>
          <w:szCs w:val="28"/>
          <w:lang w:val="uk-UA"/>
        </w:rPr>
        <w:t>ь зобов’язати власників наявних</w:t>
      </w: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об’єктів зм</w:t>
      </w:r>
      <w:r>
        <w:rPr>
          <w:rFonts w:ascii="Cambria" w:hAnsi="Cambria" w:cs="Times New Roman"/>
          <w:color w:val="000000"/>
          <w:sz w:val="28"/>
          <w:szCs w:val="28"/>
          <w:lang w:val="uk-UA"/>
        </w:rPr>
        <w:t>інити їх вигляд у разі законного</w:t>
      </w: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права власності.</w:t>
      </w:r>
    </w:p>
    <w:p w:rsidR="00826060" w:rsidRPr="00826060" w:rsidRDefault="00826060" w:rsidP="00826060">
      <w:pPr>
        <w:numPr>
          <w:ilvl w:val="0"/>
          <w:numId w:val="2"/>
        </w:numPr>
        <w:jc w:val="both"/>
        <w:textAlignment w:val="baseline"/>
        <w:rPr>
          <w:rFonts w:ascii="Cambria" w:eastAsia="Times New Roman" w:hAnsi="Cambria" w:cs="Times New Roman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Відсутність правових механізмів приведення у відповідність </w:t>
      </w:r>
      <w:r w:rsidRPr="00826060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приватними власниками квартир та приміщень оригінального вигляду фасадів будинків через встановлення кондиціонерів, супутникових тарілок, утеплення, та інше.</w:t>
      </w:r>
    </w:p>
    <w:p w:rsidR="00826060" w:rsidRPr="00826060" w:rsidRDefault="00826060" w:rsidP="00826060">
      <w:pPr>
        <w:numPr>
          <w:ilvl w:val="0"/>
          <w:numId w:val="2"/>
        </w:numPr>
        <w:jc w:val="both"/>
        <w:textAlignment w:val="baseline"/>
        <w:rPr>
          <w:rFonts w:ascii="Cambria" w:eastAsia="Times New Roman" w:hAnsi="Cambria" w:cs="Times New Roman"/>
          <w:sz w:val="28"/>
          <w:szCs w:val="28"/>
          <w:lang w:val="uk-UA"/>
        </w:rPr>
      </w:pPr>
      <w:r w:rsidRPr="00826060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Реалізація сценарію займає багато часу.</w:t>
      </w:r>
    </w:p>
    <w:p w:rsidR="00826060" w:rsidRDefault="00826060" w:rsidP="00826060">
      <w:pPr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</w:p>
    <w:p w:rsidR="00826060" w:rsidRDefault="00826060" w:rsidP="00826060">
      <w:pPr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b/>
          <w:color w:val="000000"/>
          <w:sz w:val="28"/>
          <w:szCs w:val="28"/>
          <w:lang w:val="uk-UA"/>
        </w:rPr>
        <w:t>Переваги:</w:t>
      </w:r>
    </w:p>
    <w:p w:rsidR="00826060" w:rsidRPr="00826060" w:rsidRDefault="00826060" w:rsidP="00826060">
      <w:pPr>
        <w:rPr>
          <w:rFonts w:ascii="Cambria" w:hAnsi="Cambria" w:cs="Times New Roman"/>
          <w:b/>
          <w:sz w:val="28"/>
          <w:szCs w:val="28"/>
          <w:lang w:val="uk-UA"/>
        </w:rPr>
      </w:pPr>
    </w:p>
    <w:p w:rsidR="00826060" w:rsidRPr="00826060" w:rsidRDefault="00826060" w:rsidP="00826060">
      <w:pPr>
        <w:numPr>
          <w:ilvl w:val="0"/>
          <w:numId w:val="2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Залучення громади до реалізації сценарію.</w:t>
      </w:r>
    </w:p>
    <w:p w:rsidR="00826060" w:rsidRPr="00826060" w:rsidRDefault="00826060" w:rsidP="00826060">
      <w:pPr>
        <w:numPr>
          <w:ilvl w:val="0"/>
          <w:numId w:val="2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Приведення вулиці Соборної до більш вибагливого естетичного вигляду.</w:t>
      </w:r>
    </w:p>
    <w:p w:rsidR="0067095C" w:rsidRPr="00826060" w:rsidRDefault="00826060" w:rsidP="00826060">
      <w:pPr>
        <w:numPr>
          <w:ilvl w:val="0"/>
          <w:numId w:val="2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Приведення вулиці Соборної </w:t>
      </w:r>
      <w:bookmarkStart w:id="0" w:name="_GoBack"/>
      <w:bookmarkEnd w:id="0"/>
      <w:r w:rsidRPr="00826060">
        <w:rPr>
          <w:rFonts w:ascii="Cambria" w:hAnsi="Cambria" w:cs="Times New Roman"/>
          <w:color w:val="000000"/>
          <w:sz w:val="28"/>
          <w:szCs w:val="28"/>
          <w:lang w:val="uk-UA"/>
        </w:rPr>
        <w:t>до більш комфортного перебування людей та гостей міста.</w:t>
      </w:r>
    </w:p>
    <w:sectPr w:rsidR="0067095C" w:rsidRPr="00826060" w:rsidSect="00826060">
      <w:pgSz w:w="11900" w:h="16840"/>
      <w:pgMar w:top="709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2F28"/>
    <w:multiLevelType w:val="hybridMultilevel"/>
    <w:tmpl w:val="AC0C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035FE"/>
    <w:multiLevelType w:val="multilevel"/>
    <w:tmpl w:val="1AA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23550"/>
    <w:multiLevelType w:val="hybridMultilevel"/>
    <w:tmpl w:val="02109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952F2"/>
    <w:multiLevelType w:val="multilevel"/>
    <w:tmpl w:val="891E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60"/>
    <w:rsid w:val="0067095C"/>
    <w:rsid w:val="0082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60"/>
    <w:rPr>
      <w:rFonts w:ascii="Helvetica Neue" w:eastAsiaTheme="minorHAnsi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60"/>
    <w:rPr>
      <w:rFonts w:ascii="Helvetica Neue" w:eastAsiaTheme="minorHAnsi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3065</Characters>
  <Application>Microsoft Macintosh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2016-11-20T20:21:00Z</dcterms:created>
  <dcterms:modified xsi:type="dcterms:W3CDTF">2016-11-20T20:29:00Z</dcterms:modified>
</cp:coreProperties>
</file>